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507A0235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2026年4月19日报名截止。还有其他疑问可以公众号留言，或咨询对应报名老师。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5132E9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4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2026-04-23T07:05:09Z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